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9F9A" w14:textId="1EBF4148" w:rsidR="0008760F" w:rsidRPr="0008760F" w:rsidRDefault="0008760F" w:rsidP="0008760F">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fr-FR"/>
        </w:rPr>
      </w:pPr>
      <w:r w:rsidRPr="0008760F">
        <w:rPr>
          <w:rFonts w:ascii="Times New Roman" w:eastAsia="Times New Roman" w:hAnsi="Times New Roman" w:cs="Times New Roman"/>
          <w:b/>
          <w:bCs/>
          <w:sz w:val="36"/>
          <w:szCs w:val="36"/>
          <w:u w:val="single"/>
          <w:lang w:eastAsia="fr-FR"/>
        </w:rPr>
        <w:t>La participation citoyenne</w:t>
      </w:r>
    </w:p>
    <w:p w14:paraId="69D9B2DF" w14:textId="1761A869" w:rsidR="00C743E1" w:rsidRPr="00371444" w:rsidRDefault="0008760F" w:rsidP="00C743E1">
      <w:pPr>
        <w:spacing w:before="100" w:beforeAutospacing="1" w:after="100" w:afterAutospacing="1" w:line="240" w:lineRule="auto"/>
        <w:outlineLvl w:val="1"/>
        <w:rPr>
          <w:rFonts w:ascii="Times New Roman" w:eastAsia="Times New Roman" w:hAnsi="Times New Roman" w:cs="Times New Roman"/>
          <w:i/>
          <w:iCs/>
          <w:sz w:val="28"/>
          <w:szCs w:val="28"/>
          <w:lang w:eastAsia="fr-FR"/>
        </w:rPr>
      </w:pPr>
      <w:r w:rsidRPr="00371444">
        <w:rPr>
          <w:rFonts w:ascii="Times New Roman" w:eastAsia="Times New Roman" w:hAnsi="Times New Roman" w:cs="Times New Roman"/>
          <w:i/>
          <w:iCs/>
          <w:sz w:val="28"/>
          <w:szCs w:val="28"/>
          <w:u w:val="single"/>
          <w:lang w:eastAsia="fr-FR"/>
        </w:rPr>
        <w:t>Le</w:t>
      </w:r>
      <w:r w:rsidR="00C743E1" w:rsidRPr="00371444">
        <w:rPr>
          <w:rFonts w:ascii="Times New Roman" w:eastAsia="Times New Roman" w:hAnsi="Times New Roman" w:cs="Times New Roman"/>
          <w:i/>
          <w:iCs/>
          <w:sz w:val="28"/>
          <w:szCs w:val="28"/>
          <w:u w:val="single"/>
          <w:lang w:eastAsia="fr-FR"/>
        </w:rPr>
        <w:t xml:space="preserve"> début de la démarche</w:t>
      </w:r>
      <w:r w:rsidRPr="00371444">
        <w:rPr>
          <w:rFonts w:ascii="Times New Roman" w:eastAsia="Times New Roman" w:hAnsi="Times New Roman" w:cs="Times New Roman"/>
          <w:i/>
          <w:iCs/>
          <w:sz w:val="28"/>
          <w:szCs w:val="28"/>
          <w:u w:val="single"/>
          <w:lang w:eastAsia="fr-FR"/>
        </w:rPr>
        <w:t>, au temps des Romains</w:t>
      </w:r>
      <w:r w:rsidRPr="00371444">
        <w:rPr>
          <w:rFonts w:ascii="Times New Roman" w:eastAsia="Times New Roman" w:hAnsi="Times New Roman" w:cs="Times New Roman"/>
          <w:i/>
          <w:iCs/>
          <w:sz w:val="28"/>
          <w:szCs w:val="28"/>
          <w:lang w:eastAsia="fr-FR"/>
        </w:rPr>
        <w:t> :</w:t>
      </w:r>
    </w:p>
    <w:p w14:paraId="5FB0101E" w14:textId="77777777" w:rsidR="00C743E1" w:rsidRPr="00EE49BB" w:rsidRDefault="00C743E1" w:rsidP="00C743E1">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 xml:space="preserve">Les pratiques délibératives et d’inclusion du citoyen à la prise de décision publique, souvent présentées comme innovantes, ont des origines remontant bien au-delà des conventions citoyennes et des conférences de consensus. Le </w:t>
      </w:r>
      <w:hyperlink r:id="rId5" w:tgtFrame="_blank" w:history="1">
        <w:r w:rsidRPr="00EE49BB">
          <w:rPr>
            <w:rFonts w:ascii="Times New Roman" w:eastAsia="Times New Roman" w:hAnsi="Times New Roman" w:cs="Times New Roman"/>
            <w:sz w:val="24"/>
            <w:szCs w:val="24"/>
            <w:lang w:eastAsia="fr-FR"/>
          </w:rPr>
          <w:t>modèle démocratique athénien</w:t>
        </w:r>
      </w:hyperlink>
      <w:r w:rsidRPr="00EE49BB">
        <w:rPr>
          <w:rFonts w:ascii="Times New Roman" w:eastAsia="Times New Roman" w:hAnsi="Times New Roman" w:cs="Times New Roman"/>
          <w:sz w:val="24"/>
          <w:szCs w:val="24"/>
          <w:lang w:eastAsia="fr-FR"/>
        </w:rPr>
        <w:t xml:space="preserve"> est régulièrement mentionné mais la participation du citoyen romain à la vie politique fait également partie des premières initiatives en la matière. </w:t>
      </w:r>
    </w:p>
    <w:p w14:paraId="00673973" w14:textId="4C8B2090" w:rsidR="00C743E1" w:rsidRDefault="00C743E1" w:rsidP="00C743E1">
      <w:pPr>
        <w:spacing w:before="100" w:beforeAutospacing="1" w:after="100" w:afterAutospacing="1" w:line="240" w:lineRule="auto"/>
        <w:rPr>
          <w:rFonts w:ascii="Times New Roman" w:eastAsia="Times New Roman" w:hAnsi="Times New Roman" w:cs="Times New Roman"/>
          <w:sz w:val="24"/>
          <w:szCs w:val="24"/>
          <w:lang w:eastAsia="fr-FR"/>
        </w:rPr>
      </w:pPr>
      <w:r w:rsidRPr="00C743E1">
        <w:rPr>
          <w:rFonts w:ascii="Times New Roman" w:eastAsia="Times New Roman" w:hAnsi="Times New Roman" w:cs="Times New Roman"/>
          <w:sz w:val="24"/>
          <w:szCs w:val="24"/>
          <w:lang w:eastAsia="fr-FR"/>
        </w:rPr>
        <w:br/>
      </w:r>
      <w:r w:rsidRPr="00EE49BB">
        <w:rPr>
          <w:rFonts w:ascii="Times New Roman" w:eastAsia="Times New Roman" w:hAnsi="Times New Roman" w:cs="Times New Roman"/>
          <w:sz w:val="24"/>
          <w:szCs w:val="24"/>
          <w:lang w:eastAsia="fr-FR"/>
        </w:rPr>
        <w:t xml:space="preserve">Dans les deux cas, </w:t>
      </w:r>
      <w:r w:rsidRPr="00EE49BB">
        <w:rPr>
          <w:rFonts w:ascii="Times New Roman" w:eastAsia="Times New Roman" w:hAnsi="Times New Roman" w:cs="Times New Roman"/>
          <w:b/>
          <w:bCs/>
          <w:sz w:val="24"/>
          <w:szCs w:val="24"/>
          <w:lang w:eastAsia="fr-FR"/>
        </w:rPr>
        <w:t xml:space="preserve">ces </w:t>
      </w:r>
      <w:hyperlink r:id="rId6" w:tgtFrame="_blank" w:history="1">
        <w:r w:rsidRPr="00EE49BB">
          <w:rPr>
            <w:rFonts w:ascii="Times New Roman" w:eastAsia="Times New Roman" w:hAnsi="Times New Roman" w:cs="Times New Roman"/>
            <w:sz w:val="24"/>
            <w:szCs w:val="24"/>
            <w:lang w:eastAsia="fr-FR"/>
          </w:rPr>
          <w:t>systèmes démocratiques</w:t>
        </w:r>
      </w:hyperlink>
      <w:r w:rsidRPr="00EE49BB">
        <w:rPr>
          <w:rFonts w:ascii="Times New Roman" w:eastAsia="Times New Roman" w:hAnsi="Times New Roman" w:cs="Times New Roman"/>
          <w:b/>
          <w:bCs/>
          <w:sz w:val="24"/>
          <w:szCs w:val="24"/>
          <w:lang w:eastAsia="fr-FR"/>
        </w:rPr>
        <w:t xml:space="preserve"> </w:t>
      </w:r>
      <w:r w:rsidRPr="00EE49BB">
        <w:rPr>
          <w:rFonts w:ascii="Times New Roman" w:eastAsia="Times New Roman" w:hAnsi="Times New Roman" w:cs="Times New Roman"/>
          <w:sz w:val="24"/>
          <w:szCs w:val="24"/>
          <w:lang w:eastAsia="fr-FR"/>
        </w:rPr>
        <w:t xml:space="preserve">prévoyaient des espaces délibératifs qui réunissaient magistrats et citoyens : la </w:t>
      </w:r>
      <w:proofErr w:type="spellStart"/>
      <w:r w:rsidRPr="00EE49BB">
        <w:rPr>
          <w:rFonts w:ascii="Times New Roman" w:eastAsia="Times New Roman" w:hAnsi="Times New Roman" w:cs="Times New Roman"/>
          <w:i/>
          <w:iCs/>
          <w:sz w:val="24"/>
          <w:szCs w:val="24"/>
          <w:lang w:eastAsia="fr-FR"/>
        </w:rPr>
        <w:t>contio</w:t>
      </w:r>
      <w:proofErr w:type="spellEnd"/>
      <w:r w:rsidRPr="00EE49BB">
        <w:rPr>
          <w:rFonts w:ascii="Times New Roman" w:eastAsia="Times New Roman" w:hAnsi="Times New Roman" w:cs="Times New Roman"/>
          <w:sz w:val="24"/>
          <w:szCs w:val="24"/>
          <w:lang w:eastAsia="fr-FR"/>
        </w:rPr>
        <w:t xml:space="preserve"> pour l’empire romain et la Pnyx pour la Grèce antique. Alors que les citoyens athéniens rassemblés bénéficiaient d’un contrôle des mandants, les citoyens romains discutaient avec les magistrats des affaires de la Cité. </w:t>
      </w:r>
    </w:p>
    <w:p w14:paraId="5A61EE0E" w14:textId="7E99FF83" w:rsidR="00174903" w:rsidRDefault="00174903" w:rsidP="00C743E1">
      <w:pPr>
        <w:spacing w:before="100" w:beforeAutospacing="1" w:after="100" w:afterAutospacing="1" w:line="240" w:lineRule="auto"/>
        <w:rPr>
          <w:rStyle w:val="Accentuation"/>
        </w:rPr>
      </w:pPr>
      <w:r>
        <w:rPr>
          <w:rStyle w:val="Accentuation"/>
        </w:rPr>
        <w:t xml:space="preserve">« Dans toutes les réunions du peuple où ils délibéraient, le droit de parler était donné aux citoyens privés avant les magistrats, afin apparemment qu’aucun d’eux, influencé par l’opinion d’un supérieur, n’abandonne aucune de ses idées, mais puisse parler en toute franchise. » </w:t>
      </w:r>
      <w:r w:rsidR="001D3E7A">
        <w:t>(1)</w:t>
      </w:r>
    </w:p>
    <w:p w14:paraId="1313AF7F" w14:textId="17ECDBA4" w:rsidR="00C743E1" w:rsidRPr="00EE49BB" w:rsidRDefault="00C743E1" w:rsidP="00C743E1">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Par conséquent, la République romaine connaissait déjà des mécanismes institutionnels participatifs et délibératifs. Le magistrat ou le prêtre public possédait l’initiative de la convocation de l’assemblée citoyenne. Le Sénat préparait le projet de loi que le magistrat était chargé de défendre auprès de l’assemblée citoyenne. Les participants débattaient des effets du projet et exprimaient leurs avis. Puis un vote au sein des comices composés de citoyens romains donnait lieu au rejet ou à la promulgation de la loi. </w:t>
      </w:r>
    </w:p>
    <w:p w14:paraId="6A2E9784" w14:textId="77777777" w:rsidR="00BE7F33" w:rsidRPr="00EE49BB" w:rsidRDefault="00BE7F33" w:rsidP="00BE7F33">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 xml:space="preserve">Cependant, nous devons souligner que l’ouverture de ces démarches restait limitée à une certaine catégorie de citoyens et que les assemblées de citoyens ne disposaient pas de </w:t>
      </w:r>
      <w:hyperlink r:id="rId7" w:tgtFrame="_blank" w:history="1">
        <w:r w:rsidRPr="00EE49BB">
          <w:rPr>
            <w:rFonts w:ascii="Times New Roman" w:eastAsia="Times New Roman" w:hAnsi="Times New Roman" w:cs="Times New Roman"/>
            <w:sz w:val="24"/>
            <w:szCs w:val="24"/>
            <w:lang w:eastAsia="fr-FR"/>
          </w:rPr>
          <w:t>véritable espace pour dialoguer</w:t>
        </w:r>
      </w:hyperlink>
      <w:r w:rsidRPr="00EE49BB">
        <w:rPr>
          <w:rFonts w:ascii="Times New Roman" w:eastAsia="Times New Roman" w:hAnsi="Times New Roman" w:cs="Times New Roman"/>
          <w:sz w:val="24"/>
          <w:szCs w:val="24"/>
          <w:lang w:eastAsia="fr-FR"/>
        </w:rPr>
        <w:t xml:space="preserve"> : les démarches de participation citoyenne dans les communes actuelles se veulent les plus ouvertes et inclusives possibles.</w:t>
      </w:r>
    </w:p>
    <w:p w14:paraId="18778962" w14:textId="63FBDBA3" w:rsidR="00BE7F33" w:rsidRPr="00371444" w:rsidRDefault="00BE7F33" w:rsidP="00BE7F33">
      <w:pPr>
        <w:spacing w:before="100" w:beforeAutospacing="1" w:after="100" w:afterAutospacing="1" w:line="240" w:lineRule="auto"/>
        <w:outlineLvl w:val="1"/>
        <w:rPr>
          <w:rFonts w:ascii="Times New Roman" w:eastAsia="Times New Roman" w:hAnsi="Times New Roman" w:cs="Times New Roman"/>
          <w:i/>
          <w:iCs/>
          <w:sz w:val="28"/>
          <w:szCs w:val="28"/>
          <w:u w:val="single"/>
          <w:lang w:eastAsia="fr-FR"/>
        </w:rPr>
      </w:pPr>
      <w:r w:rsidRPr="00371444">
        <w:rPr>
          <w:rFonts w:ascii="Times New Roman" w:eastAsia="Times New Roman" w:hAnsi="Times New Roman" w:cs="Times New Roman"/>
          <w:i/>
          <w:iCs/>
          <w:sz w:val="28"/>
          <w:szCs w:val="28"/>
          <w:u w:val="single"/>
          <w:lang w:eastAsia="fr-FR"/>
        </w:rPr>
        <w:t xml:space="preserve">L’émergence de la participation citoyenne dans les </w:t>
      </w:r>
      <w:r w:rsidR="0008760F" w:rsidRPr="00371444">
        <w:rPr>
          <w:rFonts w:ascii="Times New Roman" w:eastAsia="Times New Roman" w:hAnsi="Times New Roman" w:cs="Times New Roman"/>
          <w:i/>
          <w:iCs/>
          <w:sz w:val="28"/>
          <w:szCs w:val="28"/>
          <w:u w:val="single"/>
          <w:lang w:eastAsia="fr-FR"/>
        </w:rPr>
        <w:t>communes, à</w:t>
      </w:r>
      <w:r w:rsidRPr="00371444">
        <w:rPr>
          <w:rFonts w:ascii="Times New Roman" w:eastAsia="Times New Roman" w:hAnsi="Times New Roman" w:cs="Times New Roman"/>
          <w:i/>
          <w:iCs/>
          <w:sz w:val="28"/>
          <w:szCs w:val="28"/>
          <w:u w:val="single"/>
          <w:lang w:eastAsia="fr-FR"/>
        </w:rPr>
        <w:t xml:space="preserve"> l’ère des grands projets urbains</w:t>
      </w:r>
    </w:p>
    <w:p w14:paraId="3CDE33B1" w14:textId="77777777" w:rsidR="00BE7F33" w:rsidRPr="00EE49BB" w:rsidRDefault="00BE7F33" w:rsidP="00BE7F33">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 xml:space="preserve">La participation citoyenne telle que nous la connaissons en 2023 se réfère davantage à un passé plus récent. En effet, l’histoire de la démocratie participative est étroitement liée à l’émergence des grands projets d’aménagement urbain et de rénovation urbaine des années 1960 et 1970. La redéfinition et la requalification de ces “grands ensembles” ont </w:t>
      </w:r>
      <w:hyperlink r:id="rId8" w:tgtFrame="_blank" w:history="1">
        <w:r w:rsidRPr="00EE49BB">
          <w:rPr>
            <w:rFonts w:ascii="Times New Roman" w:eastAsia="Times New Roman" w:hAnsi="Times New Roman" w:cs="Times New Roman"/>
            <w:sz w:val="24"/>
            <w:szCs w:val="24"/>
            <w:lang w:eastAsia="fr-FR"/>
          </w:rPr>
          <w:t>mis sur le devant de la scène</w:t>
        </w:r>
      </w:hyperlink>
      <w:r w:rsidRPr="00EE49BB">
        <w:rPr>
          <w:rFonts w:ascii="Times New Roman" w:eastAsia="Times New Roman" w:hAnsi="Times New Roman" w:cs="Times New Roman"/>
          <w:sz w:val="24"/>
          <w:szCs w:val="24"/>
          <w:lang w:eastAsia="fr-FR"/>
        </w:rPr>
        <w:t xml:space="preserve"> la question de la participation des habitants au développement de leur territoire. A cette période, les pouvoirs publics poursuivent un objectif d’animation sociale de ces espaces. </w:t>
      </w:r>
    </w:p>
    <w:p w14:paraId="3371E4E5" w14:textId="66098A23" w:rsidR="00BE7F33" w:rsidRPr="00EE49BB" w:rsidRDefault="00BE7F33" w:rsidP="00BE7F33">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Parfois, face à des projets d’aménagement peu adaptés aux attentes des habitants et à leurs usages, des mouvements d’opposition se sont formés autour d’acteurs majoritairement issus des milieux associatifs et militants. L’objectif poursuivi étant de montrer l’importance de l’inclusion de l’expertise habitante. L’</w:t>
      </w:r>
      <w:hyperlink r:id="rId9" w:tgtFrame="_blank" w:history="1">
        <w:r w:rsidRPr="00EE49BB">
          <w:rPr>
            <w:rFonts w:ascii="Times New Roman" w:eastAsia="Times New Roman" w:hAnsi="Times New Roman" w:cs="Times New Roman"/>
            <w:sz w:val="24"/>
            <w:szCs w:val="24"/>
            <w:lang w:eastAsia="fr-FR"/>
          </w:rPr>
          <w:t>une des premières expériences</w:t>
        </w:r>
      </w:hyperlink>
      <w:r w:rsidRPr="00EE49BB">
        <w:rPr>
          <w:rFonts w:ascii="Times New Roman" w:eastAsia="Times New Roman" w:hAnsi="Times New Roman" w:cs="Times New Roman"/>
          <w:sz w:val="24"/>
          <w:szCs w:val="24"/>
          <w:lang w:eastAsia="fr-FR"/>
        </w:rPr>
        <w:t xml:space="preserve"> à se faire connaître est celui de l’Atelier populaire d’urbanisme de l’Alma-Gare à Roubaix.</w:t>
      </w:r>
    </w:p>
    <w:p w14:paraId="749B3551" w14:textId="1FC410DD" w:rsidR="00B503F8" w:rsidRPr="00EE49BB" w:rsidRDefault="00B503F8" w:rsidP="00B503F8">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lastRenderedPageBreak/>
        <w:t>Ces expérimentations de participation citoyenne dans les communes trouvent leur traduction juridique au sein des institutions dans la “politique de la ville” à partir des années 1980. Également, le début des années 2000 marque la consécration d’instances de participation citoyenne permanentes comme les conseils citoyens en 2014. </w:t>
      </w:r>
    </w:p>
    <w:p w14:paraId="01594C95" w14:textId="77777777" w:rsidR="00B503F8" w:rsidRPr="00EE49BB" w:rsidRDefault="00B503F8" w:rsidP="00B503F8">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 xml:space="preserve">Au fur et à mesure, la participation citoyenne locale devient une </w:t>
      </w:r>
      <w:hyperlink r:id="rId10" w:tgtFrame="_blank" w:history="1">
        <w:r w:rsidRPr="00EE49BB">
          <w:rPr>
            <w:rFonts w:ascii="Times New Roman" w:eastAsia="Times New Roman" w:hAnsi="Times New Roman" w:cs="Times New Roman"/>
            <w:sz w:val="24"/>
            <w:szCs w:val="24"/>
            <w:lang w:eastAsia="fr-FR"/>
          </w:rPr>
          <w:t>pratique courante</w:t>
        </w:r>
      </w:hyperlink>
      <w:r w:rsidRPr="00EE49BB">
        <w:rPr>
          <w:rFonts w:ascii="Times New Roman" w:eastAsia="Times New Roman" w:hAnsi="Times New Roman" w:cs="Times New Roman"/>
          <w:b/>
          <w:bCs/>
          <w:sz w:val="24"/>
          <w:szCs w:val="24"/>
          <w:lang w:eastAsia="fr-FR"/>
        </w:rPr>
        <w:t xml:space="preserve"> </w:t>
      </w:r>
      <w:r w:rsidRPr="00EE49BB">
        <w:rPr>
          <w:rFonts w:ascii="Times New Roman" w:eastAsia="Times New Roman" w:hAnsi="Times New Roman" w:cs="Times New Roman"/>
          <w:sz w:val="24"/>
          <w:szCs w:val="24"/>
          <w:lang w:eastAsia="fr-FR"/>
        </w:rPr>
        <w:t>dans les opérations d’aménagement urbain. Notamment, elle est rendue obligatoire dans certains cas tant l’impact de ces projets sur le cadre de vie, l’environnement et l’économie s’avère conséquent. En parallèle, l’augmentation du niveau d’éducation de la population ainsi que la perte de légitimité des décisions politiques renforcent le besoin d’une participation plus forte des citoyens à la prise de décision publique. </w:t>
      </w:r>
    </w:p>
    <w:p w14:paraId="59DB8FD3" w14:textId="77777777" w:rsidR="00B503F8" w:rsidRPr="0008760F" w:rsidRDefault="00B503F8" w:rsidP="00B503F8">
      <w:pPr>
        <w:spacing w:before="100" w:beforeAutospacing="1" w:after="100" w:afterAutospacing="1" w:line="240" w:lineRule="auto"/>
        <w:rPr>
          <w:rFonts w:ascii="Times New Roman" w:eastAsia="Times New Roman" w:hAnsi="Times New Roman" w:cs="Times New Roman"/>
          <w:sz w:val="24"/>
          <w:szCs w:val="24"/>
          <w:lang w:eastAsia="fr-FR"/>
        </w:rPr>
      </w:pPr>
      <w:r w:rsidRPr="00B503F8">
        <w:rPr>
          <w:rFonts w:ascii="Times New Roman" w:eastAsia="Times New Roman" w:hAnsi="Times New Roman" w:cs="Times New Roman"/>
          <w:sz w:val="24"/>
          <w:szCs w:val="24"/>
          <w:lang w:eastAsia="fr-FR"/>
        </w:rPr>
        <w:t xml:space="preserve">Cependant, il ne faut pas oublier que </w:t>
      </w:r>
      <w:r w:rsidRPr="0008760F">
        <w:rPr>
          <w:rFonts w:ascii="Times New Roman" w:eastAsia="Times New Roman" w:hAnsi="Times New Roman" w:cs="Times New Roman"/>
          <w:sz w:val="24"/>
          <w:szCs w:val="24"/>
          <w:lang w:eastAsia="fr-FR"/>
        </w:rPr>
        <w:t>la participation des habitants renvoie à différentes échelles d’implication et des pratiques très variées.  </w:t>
      </w:r>
    </w:p>
    <w:p w14:paraId="5729651F" w14:textId="77777777" w:rsidR="00B503F8" w:rsidRPr="00371444" w:rsidRDefault="00B503F8" w:rsidP="00B503F8">
      <w:pPr>
        <w:spacing w:before="100" w:beforeAutospacing="1" w:after="100" w:afterAutospacing="1" w:line="240" w:lineRule="auto"/>
        <w:outlineLvl w:val="1"/>
        <w:rPr>
          <w:rFonts w:ascii="Times New Roman" w:eastAsia="Times New Roman" w:hAnsi="Times New Roman" w:cs="Times New Roman"/>
          <w:i/>
          <w:iCs/>
          <w:sz w:val="28"/>
          <w:szCs w:val="28"/>
          <w:u w:val="single"/>
          <w:lang w:eastAsia="fr-FR"/>
        </w:rPr>
      </w:pPr>
      <w:r w:rsidRPr="00371444">
        <w:rPr>
          <w:rFonts w:ascii="Times New Roman" w:eastAsia="Times New Roman" w:hAnsi="Times New Roman" w:cs="Times New Roman"/>
          <w:i/>
          <w:iCs/>
          <w:sz w:val="28"/>
          <w:szCs w:val="28"/>
          <w:u w:val="single"/>
          <w:lang w:eastAsia="fr-FR"/>
        </w:rPr>
        <w:t>Vers une structuration réglementaire des démarches de participation citoyenne dans les communes</w:t>
      </w:r>
    </w:p>
    <w:p w14:paraId="6A1948E6" w14:textId="77777777" w:rsidR="00B503F8" w:rsidRPr="00EE49BB" w:rsidRDefault="00B503F8" w:rsidP="00B503F8">
      <w:pPr>
        <w:spacing w:before="100" w:beforeAutospacing="1" w:after="100" w:afterAutospacing="1" w:line="240" w:lineRule="auto"/>
        <w:rPr>
          <w:rFonts w:ascii="Times New Roman" w:eastAsia="Times New Roman" w:hAnsi="Times New Roman" w:cs="Times New Roman"/>
          <w:sz w:val="24"/>
          <w:szCs w:val="24"/>
          <w:lang w:eastAsia="fr-FR"/>
        </w:rPr>
      </w:pPr>
      <w:r w:rsidRPr="00EE49BB">
        <w:rPr>
          <w:rFonts w:ascii="Times New Roman" w:eastAsia="Times New Roman" w:hAnsi="Times New Roman" w:cs="Times New Roman"/>
          <w:sz w:val="24"/>
          <w:szCs w:val="24"/>
          <w:lang w:eastAsia="fr-FR"/>
        </w:rPr>
        <w:t>Les démarches citoyennes se sont développées au point d’enclencher un</w:t>
      </w:r>
      <w:r w:rsidRPr="00EE49BB">
        <w:rPr>
          <w:rFonts w:ascii="Times New Roman" w:eastAsia="Times New Roman" w:hAnsi="Times New Roman" w:cs="Times New Roman"/>
          <w:b/>
          <w:bCs/>
          <w:sz w:val="24"/>
          <w:szCs w:val="24"/>
          <w:lang w:eastAsia="fr-FR"/>
        </w:rPr>
        <w:t xml:space="preserve"> </w:t>
      </w:r>
      <w:hyperlink r:id="rId11" w:tgtFrame="_blank" w:history="1">
        <w:r w:rsidRPr="00EE49BB">
          <w:rPr>
            <w:rFonts w:ascii="Times New Roman" w:eastAsia="Times New Roman" w:hAnsi="Times New Roman" w:cs="Times New Roman"/>
            <w:sz w:val="24"/>
            <w:szCs w:val="24"/>
            <w:lang w:eastAsia="fr-FR"/>
          </w:rPr>
          <w:t>mouvement de professionnalisation</w:t>
        </w:r>
      </w:hyperlink>
      <w:r w:rsidRPr="00EE49BB">
        <w:rPr>
          <w:rFonts w:ascii="Times New Roman" w:eastAsia="Times New Roman" w:hAnsi="Times New Roman" w:cs="Times New Roman"/>
          <w:b/>
          <w:bCs/>
          <w:sz w:val="24"/>
          <w:szCs w:val="24"/>
          <w:lang w:eastAsia="fr-FR"/>
        </w:rPr>
        <w:t xml:space="preserve"> </w:t>
      </w:r>
      <w:r w:rsidRPr="00EE49BB">
        <w:rPr>
          <w:rFonts w:ascii="Times New Roman" w:eastAsia="Times New Roman" w:hAnsi="Times New Roman" w:cs="Times New Roman"/>
          <w:sz w:val="24"/>
          <w:szCs w:val="24"/>
          <w:lang w:eastAsia="fr-FR"/>
        </w:rPr>
        <w:t>des acteurs du marché. Ces acteurs proviennent d’horizons divers mais ont tendance à se regrouper au sein d’agences de concertation et de communication, d’associations, de Civic Tech et de collectivités territoriales. Ainsi, la concertation est devenue une activité professionnelle à part entière, complétée par une institutionnalisation des initiatives. </w:t>
      </w:r>
    </w:p>
    <w:p w14:paraId="670E9C4F" w14:textId="77777777" w:rsidR="00B503F8" w:rsidRPr="00371444" w:rsidRDefault="00B503F8" w:rsidP="00B503F8">
      <w:pPr>
        <w:spacing w:before="100" w:beforeAutospacing="1" w:after="100" w:afterAutospacing="1" w:line="240" w:lineRule="auto"/>
        <w:rPr>
          <w:rFonts w:ascii="Times New Roman" w:eastAsia="Times New Roman" w:hAnsi="Times New Roman" w:cs="Times New Roman"/>
          <w:b/>
          <w:bCs/>
          <w:sz w:val="24"/>
          <w:szCs w:val="24"/>
          <w:lang w:eastAsia="fr-FR"/>
        </w:rPr>
      </w:pPr>
      <w:r w:rsidRPr="00B503F8">
        <w:rPr>
          <w:rFonts w:ascii="Times New Roman" w:eastAsia="Times New Roman" w:hAnsi="Times New Roman" w:cs="Times New Roman"/>
          <w:sz w:val="24"/>
          <w:szCs w:val="24"/>
          <w:lang w:eastAsia="fr-FR"/>
        </w:rPr>
        <w:t xml:space="preserve">En parallèle, </w:t>
      </w:r>
      <w:hyperlink r:id="rId12" w:tgtFrame="_blank" w:history="1">
        <w:r w:rsidRPr="00B503F8">
          <w:rPr>
            <w:rFonts w:ascii="Times New Roman" w:eastAsia="Times New Roman" w:hAnsi="Times New Roman" w:cs="Times New Roman"/>
            <w:sz w:val="24"/>
            <w:szCs w:val="24"/>
            <w:lang w:eastAsia="fr-FR"/>
          </w:rPr>
          <w:t>plusieurs textes de loi</w:t>
        </w:r>
      </w:hyperlink>
      <w:r w:rsidRPr="00B503F8">
        <w:rPr>
          <w:rFonts w:ascii="Times New Roman" w:eastAsia="Times New Roman" w:hAnsi="Times New Roman" w:cs="Times New Roman"/>
          <w:b/>
          <w:bCs/>
          <w:sz w:val="24"/>
          <w:szCs w:val="24"/>
          <w:lang w:eastAsia="fr-FR"/>
        </w:rPr>
        <w:t xml:space="preserve"> </w:t>
      </w:r>
      <w:r w:rsidRPr="0008760F">
        <w:rPr>
          <w:rFonts w:ascii="Times New Roman" w:eastAsia="Times New Roman" w:hAnsi="Times New Roman" w:cs="Times New Roman"/>
          <w:sz w:val="24"/>
          <w:szCs w:val="24"/>
          <w:lang w:eastAsia="fr-FR"/>
        </w:rPr>
        <w:t xml:space="preserve">consacrent la possibilité, voir l’obligation, d’organiser des démarches participatives </w:t>
      </w:r>
      <w:r w:rsidRPr="00B503F8">
        <w:rPr>
          <w:rFonts w:ascii="Times New Roman" w:eastAsia="Times New Roman" w:hAnsi="Times New Roman" w:cs="Times New Roman"/>
          <w:sz w:val="24"/>
          <w:szCs w:val="24"/>
          <w:lang w:eastAsia="fr-FR"/>
        </w:rPr>
        <w:t>au niveau national ou régional. Nous pouvons citer : les débats publics et les référendums</w:t>
      </w:r>
      <w:r w:rsidRPr="00371444">
        <w:rPr>
          <w:rFonts w:ascii="Times New Roman" w:eastAsia="Times New Roman" w:hAnsi="Times New Roman" w:cs="Times New Roman"/>
          <w:b/>
          <w:bCs/>
          <w:sz w:val="24"/>
          <w:szCs w:val="24"/>
          <w:lang w:eastAsia="fr-FR"/>
        </w:rPr>
        <w:t>. Il en est de même au niveau local avec le droit de pétition locale, les consultations, les enquêtes publiques et d’autres dispositifs tels que les conseils de quartier et les comités consultatifs qui font vivre la participation citoyenne dans les communes.</w:t>
      </w:r>
    </w:p>
    <w:p w14:paraId="368F6D19" w14:textId="7375810F" w:rsidR="00B503F8" w:rsidRPr="00B503F8" w:rsidRDefault="00B503F8" w:rsidP="00B503F8">
      <w:pPr>
        <w:spacing w:before="100" w:beforeAutospacing="1" w:after="100" w:afterAutospacing="1" w:line="240" w:lineRule="auto"/>
        <w:rPr>
          <w:rFonts w:ascii="Times New Roman" w:eastAsia="Times New Roman" w:hAnsi="Times New Roman" w:cs="Times New Roman"/>
          <w:sz w:val="24"/>
          <w:szCs w:val="24"/>
          <w:lang w:eastAsia="fr-FR"/>
        </w:rPr>
      </w:pPr>
      <w:r w:rsidRPr="00B503F8">
        <w:rPr>
          <w:rFonts w:ascii="Times New Roman" w:eastAsia="Times New Roman" w:hAnsi="Times New Roman" w:cs="Times New Roman"/>
          <w:sz w:val="24"/>
          <w:szCs w:val="24"/>
          <w:lang w:eastAsia="fr-FR"/>
        </w:rPr>
        <w:t xml:space="preserve">L’inflation des dispositions juridiques dans le domaine favorise </w:t>
      </w:r>
      <w:r w:rsidRPr="0008760F">
        <w:rPr>
          <w:rFonts w:ascii="Times New Roman" w:eastAsia="Times New Roman" w:hAnsi="Times New Roman" w:cs="Times New Roman"/>
          <w:sz w:val="24"/>
          <w:szCs w:val="24"/>
          <w:lang w:eastAsia="fr-FR"/>
        </w:rPr>
        <w:t>la structuration de ces démarches</w:t>
      </w:r>
      <w:r w:rsidRPr="00B503F8">
        <w:rPr>
          <w:rFonts w:ascii="Times New Roman" w:eastAsia="Times New Roman" w:hAnsi="Times New Roman" w:cs="Times New Roman"/>
          <w:sz w:val="24"/>
          <w:szCs w:val="24"/>
          <w:lang w:eastAsia="fr-FR"/>
        </w:rPr>
        <w:t xml:space="preserve"> selon un socle de pratiques communes. Par exemple, le </w:t>
      </w:r>
      <w:hyperlink r:id="rId13" w:tgtFrame="_blank" w:history="1">
        <w:r w:rsidRPr="00B503F8">
          <w:rPr>
            <w:rFonts w:ascii="Times New Roman" w:eastAsia="Times New Roman" w:hAnsi="Times New Roman" w:cs="Times New Roman"/>
            <w:sz w:val="24"/>
            <w:szCs w:val="24"/>
            <w:lang w:eastAsia="fr-FR"/>
          </w:rPr>
          <w:t>code de l’environnement</w:t>
        </w:r>
      </w:hyperlink>
      <w:r w:rsidRPr="00B503F8">
        <w:rPr>
          <w:rFonts w:ascii="Times New Roman" w:eastAsia="Times New Roman" w:hAnsi="Times New Roman" w:cs="Times New Roman"/>
          <w:sz w:val="24"/>
          <w:szCs w:val="24"/>
          <w:lang w:eastAsia="fr-FR"/>
        </w:rPr>
        <w:t xml:space="preserve">, dans le titre II sur l’information et la participation des citoyens, confirme les droits octroyés au public dans le cadre d’une consultation. Ce qui garantit le </w:t>
      </w:r>
      <w:r w:rsidRPr="0008760F">
        <w:rPr>
          <w:rFonts w:ascii="Times New Roman" w:eastAsia="Times New Roman" w:hAnsi="Times New Roman" w:cs="Times New Roman"/>
          <w:sz w:val="24"/>
          <w:szCs w:val="24"/>
          <w:lang w:eastAsia="fr-FR"/>
        </w:rPr>
        <w:t>respect d’un certain nombre de principes</w:t>
      </w:r>
      <w:r w:rsidRPr="00B503F8">
        <w:rPr>
          <w:rFonts w:ascii="Times New Roman" w:eastAsia="Times New Roman" w:hAnsi="Times New Roman" w:cs="Times New Roman"/>
          <w:sz w:val="24"/>
          <w:szCs w:val="24"/>
          <w:lang w:eastAsia="fr-FR"/>
        </w:rPr>
        <w:t xml:space="preserve"> reconnus comme indispensables à la participation citoyenne, même si certaines pratiques comme le budget participatif, ne disposent encore d’un véritable cadre réglementaire.</w:t>
      </w:r>
    </w:p>
    <w:p w14:paraId="17055621" w14:textId="1D50F1C3" w:rsidR="00B503F8" w:rsidRPr="00371444" w:rsidRDefault="002035E7" w:rsidP="00BE7F33">
      <w:pPr>
        <w:spacing w:before="100" w:beforeAutospacing="1" w:after="100" w:afterAutospacing="1" w:line="240" w:lineRule="auto"/>
        <w:rPr>
          <w:rFonts w:ascii="Times New Roman" w:eastAsia="Times New Roman" w:hAnsi="Times New Roman" w:cs="Times New Roman"/>
          <w:b/>
          <w:bCs/>
          <w:sz w:val="24"/>
          <w:szCs w:val="24"/>
          <w:lang w:eastAsia="fr-FR"/>
        </w:rPr>
      </w:pPr>
      <w:r w:rsidRPr="00EE49BB">
        <w:rPr>
          <w:rFonts w:ascii="Times New Roman" w:hAnsi="Times New Roman" w:cs="Times New Roman"/>
          <w:sz w:val="24"/>
          <w:szCs w:val="24"/>
        </w:rPr>
        <w:t>La participation citoyenne dans les communes, telle que nous la connaissons aujourd’hui est donc loin d’être inédite. En revanche</w:t>
      </w:r>
      <w:r w:rsidRPr="00EE49BB">
        <w:rPr>
          <w:rFonts w:ascii="Times New Roman" w:hAnsi="Times New Roman" w:cs="Times New Roman"/>
          <w:b/>
          <w:bCs/>
          <w:sz w:val="24"/>
          <w:szCs w:val="24"/>
        </w:rPr>
        <w:t xml:space="preserve">, </w:t>
      </w:r>
      <w:r w:rsidRPr="00EE49BB">
        <w:rPr>
          <w:rStyle w:val="lev"/>
          <w:rFonts w:ascii="Times New Roman" w:hAnsi="Times New Roman" w:cs="Times New Roman"/>
          <w:b w:val="0"/>
          <w:bCs w:val="0"/>
          <w:sz w:val="24"/>
          <w:szCs w:val="24"/>
        </w:rPr>
        <w:t>la définition de ces démarches reste plurielle, et la consolidation</w:t>
      </w:r>
      <w:r w:rsidRPr="00EE49BB">
        <w:rPr>
          <w:rStyle w:val="lev"/>
          <w:rFonts w:ascii="Times New Roman" w:hAnsi="Times New Roman" w:cs="Times New Roman"/>
          <w:sz w:val="24"/>
          <w:szCs w:val="24"/>
        </w:rPr>
        <w:t xml:space="preserve"> des </w:t>
      </w:r>
      <w:r w:rsidRPr="00EE49BB">
        <w:rPr>
          <w:rStyle w:val="lev"/>
          <w:rFonts w:ascii="Times New Roman" w:hAnsi="Times New Roman" w:cs="Times New Roman"/>
          <w:b w:val="0"/>
          <w:bCs w:val="0"/>
          <w:sz w:val="24"/>
          <w:szCs w:val="24"/>
        </w:rPr>
        <w:t>pratiques n’empêche pas</w:t>
      </w:r>
      <w:r w:rsidRPr="00EE49BB">
        <w:rPr>
          <w:rStyle w:val="lev"/>
          <w:rFonts w:ascii="Times New Roman" w:hAnsi="Times New Roman" w:cs="Times New Roman"/>
          <w:sz w:val="24"/>
          <w:szCs w:val="24"/>
        </w:rPr>
        <w:t xml:space="preserve"> </w:t>
      </w:r>
      <w:r w:rsidRPr="00EE49BB">
        <w:rPr>
          <w:rStyle w:val="lev"/>
          <w:rFonts w:ascii="Times New Roman" w:hAnsi="Times New Roman" w:cs="Times New Roman"/>
          <w:b w:val="0"/>
          <w:bCs w:val="0"/>
          <w:sz w:val="24"/>
          <w:szCs w:val="24"/>
        </w:rPr>
        <w:t>l’émergence</w:t>
      </w:r>
      <w:r w:rsidRPr="00EE49BB">
        <w:rPr>
          <w:rStyle w:val="lev"/>
          <w:rFonts w:ascii="Times New Roman" w:hAnsi="Times New Roman" w:cs="Times New Roman"/>
          <w:sz w:val="24"/>
          <w:szCs w:val="24"/>
        </w:rPr>
        <w:t xml:space="preserve"> </w:t>
      </w:r>
      <w:r w:rsidRPr="00EE49BB">
        <w:rPr>
          <w:rStyle w:val="lev"/>
          <w:rFonts w:ascii="Times New Roman" w:hAnsi="Times New Roman" w:cs="Times New Roman"/>
          <w:b w:val="0"/>
          <w:bCs w:val="0"/>
          <w:sz w:val="24"/>
          <w:szCs w:val="24"/>
        </w:rPr>
        <w:t xml:space="preserve">de </w:t>
      </w:r>
      <w:hyperlink r:id="rId14" w:tgtFrame="_blank" w:history="1">
        <w:r w:rsidRPr="00EE49BB">
          <w:rPr>
            <w:rStyle w:val="Lienhypertexte"/>
            <w:rFonts w:ascii="Times New Roman" w:hAnsi="Times New Roman" w:cs="Times New Roman"/>
            <w:color w:val="auto"/>
            <w:sz w:val="24"/>
            <w:szCs w:val="24"/>
            <w:u w:val="none"/>
          </w:rPr>
          <w:t>nouvelles formes</w:t>
        </w:r>
      </w:hyperlink>
      <w:r w:rsidRPr="00EE49BB">
        <w:rPr>
          <w:rStyle w:val="lev"/>
          <w:rFonts w:ascii="Times New Roman" w:hAnsi="Times New Roman" w:cs="Times New Roman"/>
          <w:sz w:val="24"/>
          <w:szCs w:val="24"/>
        </w:rPr>
        <w:t xml:space="preserve"> </w:t>
      </w:r>
      <w:r w:rsidRPr="00EE49BB">
        <w:rPr>
          <w:rStyle w:val="lev"/>
          <w:rFonts w:ascii="Times New Roman" w:hAnsi="Times New Roman" w:cs="Times New Roman"/>
          <w:b w:val="0"/>
          <w:bCs w:val="0"/>
          <w:sz w:val="24"/>
          <w:szCs w:val="24"/>
        </w:rPr>
        <w:t>de participation citoyenne</w:t>
      </w:r>
      <w:r w:rsidRPr="00EE49BB">
        <w:rPr>
          <w:rFonts w:ascii="Times New Roman" w:hAnsi="Times New Roman" w:cs="Times New Roman"/>
          <w:sz w:val="24"/>
          <w:szCs w:val="24"/>
        </w:rPr>
        <w:t xml:space="preserve"> avec, par exemple, l’emploi d’outils numériques ou du tirage au sort pour la création de comités citoyens. </w:t>
      </w:r>
      <w:r w:rsidRPr="00371444">
        <w:rPr>
          <w:rFonts w:ascii="Times New Roman" w:hAnsi="Times New Roman" w:cs="Times New Roman"/>
          <w:b/>
          <w:bCs/>
          <w:sz w:val="24"/>
          <w:szCs w:val="24"/>
        </w:rPr>
        <w:t>La participation citoyenne locale poursuit donc son évolution. Elle stimule les modes de gouvernance en ouvrant davantage les processus de décision publique à l’implication citoyenne.</w:t>
      </w:r>
    </w:p>
    <w:p w14:paraId="610D301C" w14:textId="239BC6FC" w:rsidR="00F11E28" w:rsidRDefault="00000000" w:rsidP="001D3E7A">
      <w:pPr>
        <w:pStyle w:val="Paragraphedeliste"/>
        <w:numPr>
          <w:ilvl w:val="0"/>
          <w:numId w:val="1"/>
        </w:numPr>
        <w:rPr>
          <w:rStyle w:val="Lienhypertexte"/>
        </w:rPr>
      </w:pPr>
      <w:hyperlink r:id="rId15" w:history="1">
        <w:r w:rsidR="001D3E7A" w:rsidRPr="00AB00E1">
          <w:rPr>
            <w:rStyle w:val="Lienhypertexte"/>
          </w:rPr>
          <w:t>https://www.cairn.info/revue-participations-2012-2-page-71.htm</w:t>
        </w:r>
      </w:hyperlink>
    </w:p>
    <w:p w14:paraId="050B7533" w14:textId="77777777" w:rsidR="001D3E7A" w:rsidRDefault="001D3E7A" w:rsidP="001D3E7A">
      <w:pPr>
        <w:pStyle w:val="Paragraphedeliste"/>
      </w:pPr>
    </w:p>
    <w:sectPr w:rsidR="001D3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26564"/>
    <w:multiLevelType w:val="hybridMultilevel"/>
    <w:tmpl w:val="DDCEA874"/>
    <w:lvl w:ilvl="0" w:tplc="F4588D36">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4840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E1"/>
    <w:rsid w:val="0008760F"/>
    <w:rsid w:val="00174903"/>
    <w:rsid w:val="001D3E7A"/>
    <w:rsid w:val="002035E7"/>
    <w:rsid w:val="00227A91"/>
    <w:rsid w:val="00371444"/>
    <w:rsid w:val="00517F39"/>
    <w:rsid w:val="00B503F8"/>
    <w:rsid w:val="00BE7F33"/>
    <w:rsid w:val="00C743E1"/>
    <w:rsid w:val="00EE49BB"/>
    <w:rsid w:val="00F11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BB8E"/>
  <w15:chartTrackingRefBased/>
  <w15:docId w15:val="{4D6A553A-3A76-474A-B1A4-6C6CCC15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035E7"/>
    <w:rPr>
      <w:b/>
      <w:bCs/>
    </w:rPr>
  </w:style>
  <w:style w:type="character" w:styleId="Lienhypertexte">
    <w:name w:val="Hyperlink"/>
    <w:basedOn w:val="Policepardfaut"/>
    <w:uiPriority w:val="99"/>
    <w:unhideWhenUsed/>
    <w:rsid w:val="002035E7"/>
    <w:rPr>
      <w:color w:val="0000FF"/>
      <w:u w:val="single"/>
    </w:rPr>
  </w:style>
  <w:style w:type="character" w:styleId="Accentuation">
    <w:name w:val="Emphasis"/>
    <w:basedOn w:val="Policepardfaut"/>
    <w:uiPriority w:val="20"/>
    <w:qFormat/>
    <w:rsid w:val="00174903"/>
    <w:rPr>
      <w:i/>
      <w:iCs/>
    </w:rPr>
  </w:style>
  <w:style w:type="character" w:styleId="Mentionnonrsolue">
    <w:name w:val="Unresolved Mention"/>
    <w:basedOn w:val="Policepardfaut"/>
    <w:uiPriority w:val="99"/>
    <w:semiHidden/>
    <w:unhideWhenUsed/>
    <w:rsid w:val="00174903"/>
    <w:rPr>
      <w:color w:val="605E5C"/>
      <w:shd w:val="clear" w:color="auto" w:fill="E1DFDD"/>
    </w:rPr>
  </w:style>
  <w:style w:type="paragraph" w:styleId="Paragraphedeliste">
    <w:name w:val="List Paragraph"/>
    <w:basedOn w:val="Normal"/>
    <w:uiPriority w:val="34"/>
    <w:qFormat/>
    <w:rsid w:val="001D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344">
      <w:bodyDiv w:val="1"/>
      <w:marLeft w:val="0"/>
      <w:marRight w:val="0"/>
      <w:marTop w:val="0"/>
      <w:marBottom w:val="0"/>
      <w:divBdr>
        <w:top w:val="none" w:sz="0" w:space="0" w:color="auto"/>
        <w:left w:val="none" w:sz="0" w:space="0" w:color="auto"/>
        <w:bottom w:val="none" w:sz="0" w:space="0" w:color="auto"/>
        <w:right w:val="none" w:sz="0" w:space="0" w:color="auto"/>
      </w:divBdr>
      <w:divsChild>
        <w:div w:id="1115515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50269">
      <w:bodyDiv w:val="1"/>
      <w:marLeft w:val="0"/>
      <w:marRight w:val="0"/>
      <w:marTop w:val="0"/>
      <w:marBottom w:val="0"/>
      <w:divBdr>
        <w:top w:val="none" w:sz="0" w:space="0" w:color="auto"/>
        <w:left w:val="none" w:sz="0" w:space="0" w:color="auto"/>
        <w:bottom w:val="none" w:sz="0" w:space="0" w:color="auto"/>
        <w:right w:val="none" w:sz="0" w:space="0" w:color="auto"/>
      </w:divBdr>
    </w:div>
    <w:div w:id="9550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recherche-sociale-2014-1-page-14.htm" TargetMode="External"/><Relationship Id="rId13" Type="http://schemas.openxmlformats.org/officeDocument/2006/relationships/hyperlink" Target="https://www.legifrance.gouv.fr/codes/section_lc/LEGITEXT000006074220/LEGISCTA000006143733/" TargetMode="External"/><Relationship Id="rId3" Type="http://schemas.openxmlformats.org/officeDocument/2006/relationships/settings" Target="settings.xml"/><Relationship Id="rId7" Type="http://schemas.openxmlformats.org/officeDocument/2006/relationships/hyperlink" Target="https://www.persee.fr/doc/arss_0335-5322_2001_num_140_1_2832" TargetMode="External"/><Relationship Id="rId12" Type="http://schemas.openxmlformats.org/officeDocument/2006/relationships/hyperlink" Target="https://www.vie-publique.fr/eclairage/272715-democratie-participative-les-premiers-dispositif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ranceculture.fr/emissions/la-fabrique-de-lhistoire/les-citoyens-et-lexercice-du-pouvoir-une-histoire-24-figures-de-la-participation-citoyenne-dans-la" TargetMode="External"/><Relationship Id="rId11" Type="http://schemas.openxmlformats.org/officeDocument/2006/relationships/hyperlink" Target="https://www.sciencespo.fr/centre-etudes-europeennes/sites/sciencespo.fr.centre-etudes-europeennes/files/Participations%20N%C2%B01%20Groupe%20V.pdf" TargetMode="External"/><Relationship Id="rId5" Type="http://schemas.openxmlformats.org/officeDocument/2006/relationships/hyperlink" Target="https://www.cairn.info/revue-participations-2012-2-page-71.htm" TargetMode="External"/><Relationship Id="rId15" Type="http://schemas.openxmlformats.org/officeDocument/2006/relationships/hyperlink" Target="https://www.cairn.info/revue-participations-2012-2-page-71.htm" TargetMode="External"/><Relationship Id="rId10" Type="http://schemas.openxmlformats.org/officeDocument/2006/relationships/hyperlink" Target="https://www.franceculture.fr/oeuvre/amenager-la-ville-avec-les-habitants-la-participation-citoyenne-au-coeur-du-projet-urbain" TargetMode="External"/><Relationship Id="rId4" Type="http://schemas.openxmlformats.org/officeDocument/2006/relationships/webSettings" Target="webSettings.xml"/><Relationship Id="rId9" Type="http://schemas.openxmlformats.org/officeDocument/2006/relationships/hyperlink" Target="http://www.citego.org/bdf_dossier-269_fr.html" TargetMode="External"/><Relationship Id="rId14" Type="http://schemas.openxmlformats.org/officeDocument/2006/relationships/hyperlink" Target="https://www.vie-publique.fr/eclairage/273796-les-nouvelles-formes-de-participation-citoye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1166</Words>
  <Characters>6417</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2023-03-07T14:20:00Z</dcterms:created>
  <dcterms:modified xsi:type="dcterms:W3CDTF">2023-03-25T15:06:00Z</dcterms:modified>
</cp:coreProperties>
</file>